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Pr="00CF702E" w:rsidRDefault="00CC776B">
      <w:pPr>
        <w:pStyle w:val="Title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Title:"/>
          <w:tag w:val="Title:"/>
          <w:id w:val="726351117"/>
          <w:placeholder>
            <w:docPart w:val="DF1F84DED08C4871BFA59284060279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44145A">
            <w:rPr>
              <w:rFonts w:asciiTheme="minorHAnsi" w:hAnsiTheme="minorHAnsi" w:cstheme="minorHAnsi"/>
              <w:lang w:val="en-GB"/>
            </w:rPr>
            <w:t>The Federal Open Market</w:t>
          </w:r>
        </w:sdtContent>
      </w:sdt>
      <w:r w:rsidR="00784645">
        <w:rPr>
          <w:rFonts w:asciiTheme="minorHAnsi" w:hAnsiTheme="minorHAnsi" w:cstheme="minorHAnsi"/>
        </w:rPr>
        <w:t xml:space="preserve">Statement </w:t>
      </w:r>
    </w:p>
    <w:p w:rsidR="00B823AA" w:rsidRPr="00CF702E" w:rsidRDefault="00CC776B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>Name</w:t>
      </w:r>
    </w:p>
    <w:p w:rsidR="00E81978" w:rsidRPr="00CF702E" w:rsidRDefault="00CC776B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 xml:space="preserve">Institutional Affiliation </w:t>
      </w: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A234F0" w:rsidRDefault="00CC776B" w:rsidP="00784645">
      <w:pPr>
        <w:pStyle w:val="Title2"/>
        <w:rPr>
          <w:rFonts w:cstheme="minorHAnsi"/>
        </w:rPr>
      </w:pPr>
      <w:r w:rsidRPr="00784645">
        <w:rPr>
          <w:rFonts w:cstheme="minorHAnsi"/>
        </w:rPr>
        <w:lastRenderedPageBreak/>
        <w:t>The Federal Open Market</w:t>
      </w:r>
      <w:r>
        <w:rPr>
          <w:rFonts w:cstheme="minorHAnsi"/>
        </w:rPr>
        <w:t xml:space="preserve"> Statement </w:t>
      </w:r>
    </w:p>
    <w:p w:rsidR="00784645" w:rsidRPr="00784645" w:rsidRDefault="00CC776B" w:rsidP="00784645">
      <w:pPr>
        <w:pStyle w:val="Title2"/>
        <w:rPr>
          <w:rFonts w:cstheme="minorHAnsi"/>
          <w:b/>
        </w:rPr>
      </w:pPr>
      <w:r w:rsidRPr="00784645">
        <w:rPr>
          <w:rFonts w:cstheme="minorHAnsi"/>
          <w:b/>
        </w:rPr>
        <w:t xml:space="preserve">Introduction </w:t>
      </w:r>
    </w:p>
    <w:p w:rsidR="00784645" w:rsidRDefault="00CC776B" w:rsidP="00A43E21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Over the past few </w:t>
      </w:r>
      <w:r w:rsidR="00A43E21">
        <w:rPr>
          <w:rFonts w:cstheme="minorHAnsi"/>
        </w:rPr>
        <w:t>decades,</w:t>
      </w:r>
      <w:r>
        <w:rPr>
          <w:rFonts w:cstheme="minorHAnsi"/>
        </w:rPr>
        <w:t xml:space="preserve"> the Federal Open </w:t>
      </w:r>
      <w:r w:rsidR="00036E43">
        <w:rPr>
          <w:rFonts w:cstheme="minorHAnsi"/>
        </w:rPr>
        <w:t xml:space="preserve">Market Committee </w:t>
      </w:r>
      <w:r>
        <w:rPr>
          <w:rFonts w:cstheme="minorHAnsi"/>
        </w:rPr>
        <w:t xml:space="preserve">has been providing </w:t>
      </w:r>
      <w:r w:rsidR="00A43E21">
        <w:rPr>
          <w:rFonts w:cstheme="minorHAnsi"/>
        </w:rPr>
        <w:t>policy</w:t>
      </w:r>
      <w:r>
        <w:rPr>
          <w:rFonts w:cstheme="minorHAnsi"/>
        </w:rPr>
        <w:t xml:space="preserve"> </w:t>
      </w:r>
      <w:r w:rsidR="00A43E21">
        <w:rPr>
          <w:rFonts w:cstheme="minorHAnsi"/>
        </w:rPr>
        <w:t>statements after every</w:t>
      </w:r>
      <w:r w:rsidR="004A6EA0">
        <w:rPr>
          <w:rFonts w:cstheme="minorHAnsi"/>
        </w:rPr>
        <w:t xml:space="preserve"> meeting have increasingly become crucial component of economic policymaking in the </w:t>
      </w:r>
      <w:r w:rsidR="00AA6276">
        <w:rPr>
          <w:rFonts w:cstheme="minorHAnsi"/>
        </w:rPr>
        <w:t xml:space="preserve">U.S. These statements </w:t>
      </w:r>
      <w:r w:rsidR="00D67E66">
        <w:rPr>
          <w:rFonts w:cstheme="minorHAnsi"/>
        </w:rPr>
        <w:t>usually give</w:t>
      </w:r>
      <w:r w:rsidR="00AA6276">
        <w:rPr>
          <w:rFonts w:cstheme="minorHAnsi"/>
        </w:rPr>
        <w:t xml:space="preserve"> the vital information concerning the views of Fed on the United States' economic </w:t>
      </w:r>
      <w:r w:rsidR="00D67E66">
        <w:rPr>
          <w:rFonts w:cstheme="minorHAnsi"/>
        </w:rPr>
        <w:t xml:space="preserve">environment, the fundamental elements </w:t>
      </w:r>
      <w:r w:rsidR="00E06F54">
        <w:rPr>
          <w:rFonts w:cstheme="minorHAnsi"/>
        </w:rPr>
        <w:t xml:space="preserve">which are more likely to future growth and development in various sectors of US </w:t>
      </w:r>
      <w:r w:rsidR="00D34C79">
        <w:rPr>
          <w:rFonts w:cstheme="minorHAnsi"/>
        </w:rPr>
        <w:t xml:space="preserve">economy. Hence during the policy announcement </w:t>
      </w:r>
      <w:r w:rsidR="000B33C0">
        <w:rPr>
          <w:rFonts w:cstheme="minorHAnsi"/>
        </w:rPr>
        <w:t>periods,</w:t>
      </w:r>
      <w:r w:rsidR="00D34C79">
        <w:rPr>
          <w:rFonts w:cstheme="minorHAnsi"/>
        </w:rPr>
        <w:t xml:space="preserve"> different market participants monitor closely and carefully </w:t>
      </w:r>
      <w:r w:rsidR="000B33C0">
        <w:rPr>
          <w:rFonts w:cstheme="minorHAnsi"/>
        </w:rPr>
        <w:t xml:space="preserve">to understand the Federal Open Market’s policy statements pertaining </w:t>
      </w:r>
      <w:r w:rsidR="00D0773C">
        <w:rPr>
          <w:rFonts w:cstheme="minorHAnsi"/>
        </w:rPr>
        <w:t xml:space="preserve">macroeconomic and microeconomic elements such </w:t>
      </w:r>
      <w:r w:rsidR="00677303">
        <w:rPr>
          <w:rFonts w:cstheme="minorHAnsi"/>
        </w:rPr>
        <w:t>unemployment rate, inflation, interest rates, the gross domestic product (GDP)</w:t>
      </w:r>
      <w:r w:rsidR="00065B90">
        <w:rPr>
          <w:rFonts w:cstheme="minorHAnsi"/>
        </w:rPr>
        <w:t xml:space="preserve">. This paper will examine two interesting items learned from the recent </w:t>
      </w:r>
      <w:r w:rsidR="00E162C9">
        <w:rPr>
          <w:rFonts w:cstheme="minorHAnsi"/>
        </w:rPr>
        <w:t>statement of</w:t>
      </w:r>
      <w:r w:rsidR="00065B90">
        <w:rPr>
          <w:rFonts w:cstheme="minorHAnsi"/>
        </w:rPr>
        <w:t xml:space="preserve"> Federal Open </w:t>
      </w:r>
      <w:r w:rsidR="00E162C9">
        <w:rPr>
          <w:rFonts w:cstheme="minorHAnsi"/>
        </w:rPr>
        <w:t>Market (</w:t>
      </w:r>
      <w:r w:rsidR="00065B90">
        <w:rPr>
          <w:rFonts w:cstheme="minorHAnsi"/>
        </w:rPr>
        <w:t>FOM)</w:t>
      </w:r>
      <w:r w:rsidR="00E162C9">
        <w:rPr>
          <w:rFonts w:cstheme="minorHAnsi"/>
        </w:rPr>
        <w:t xml:space="preserve">, as </w:t>
      </w:r>
      <w:r w:rsidR="00CD52FD">
        <w:rPr>
          <w:rFonts w:cstheme="minorHAnsi"/>
        </w:rPr>
        <w:t xml:space="preserve">well as </w:t>
      </w:r>
      <w:r w:rsidR="000224CC">
        <w:rPr>
          <w:rFonts w:cstheme="minorHAnsi"/>
        </w:rPr>
        <w:t>outline</w:t>
      </w:r>
      <w:r w:rsidR="00E162C9">
        <w:rPr>
          <w:rFonts w:cstheme="minorHAnsi"/>
        </w:rPr>
        <w:t xml:space="preserve"> two confusing items from FOM’s statement.</w:t>
      </w:r>
    </w:p>
    <w:p w:rsidR="00784645" w:rsidRPr="000D78EC" w:rsidRDefault="00CC776B" w:rsidP="000D78EC">
      <w:pPr>
        <w:pStyle w:val="Title2"/>
        <w:rPr>
          <w:rFonts w:cstheme="minorHAnsi"/>
          <w:b/>
        </w:rPr>
      </w:pPr>
      <w:r w:rsidRPr="000D78EC">
        <w:rPr>
          <w:rFonts w:cstheme="minorHAnsi"/>
          <w:b/>
        </w:rPr>
        <w:t>Federal Open Market (FOM) Statement after meeting on 20</w:t>
      </w:r>
      <w:r w:rsidRPr="000D78EC">
        <w:rPr>
          <w:rFonts w:cstheme="minorHAnsi"/>
          <w:b/>
          <w:vertAlign w:val="superscript"/>
        </w:rPr>
        <w:t>th</w:t>
      </w:r>
      <w:r w:rsidRPr="000D78EC">
        <w:rPr>
          <w:rFonts w:cstheme="minorHAnsi"/>
          <w:b/>
        </w:rPr>
        <w:t xml:space="preserve"> March 2019</w:t>
      </w:r>
    </w:p>
    <w:p w:rsidR="0012730D" w:rsidRDefault="00CC776B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Federal Open Market (FOM) met in 2019 </w:t>
      </w:r>
      <w:r w:rsidR="00597D0E">
        <w:rPr>
          <w:rFonts w:cstheme="minorHAnsi"/>
        </w:rPr>
        <w:t>January</w:t>
      </w:r>
      <w:r>
        <w:rPr>
          <w:rFonts w:cstheme="minorHAnsi"/>
        </w:rPr>
        <w:t xml:space="preserve"> and provided the information which shows that </w:t>
      </w:r>
      <w:r w:rsidR="00662B31">
        <w:rPr>
          <w:rFonts w:cstheme="minorHAnsi"/>
        </w:rPr>
        <w:t xml:space="preserve">the </w:t>
      </w:r>
      <w:r w:rsidR="00597D0E">
        <w:rPr>
          <w:rFonts w:cstheme="minorHAnsi"/>
        </w:rPr>
        <w:t>labor</w:t>
      </w:r>
      <w:r w:rsidR="00662B31">
        <w:rPr>
          <w:rFonts w:cstheme="minorHAnsi"/>
        </w:rPr>
        <w:t xml:space="preserve"> is still stable but the economic growth an</w:t>
      </w:r>
      <w:r w:rsidR="00597D0E">
        <w:rPr>
          <w:rFonts w:cstheme="minorHAnsi"/>
        </w:rPr>
        <w:t>d declined from the solid state in the 4</w:t>
      </w:r>
      <w:r w:rsidR="00597D0E" w:rsidRPr="00597D0E">
        <w:rPr>
          <w:rFonts w:cstheme="minorHAnsi"/>
          <w:vertAlign w:val="superscript"/>
        </w:rPr>
        <w:t>th</w:t>
      </w:r>
      <w:r w:rsidR="00597D0E">
        <w:rPr>
          <w:rFonts w:cstheme="minorHAnsi"/>
        </w:rPr>
        <w:t xml:space="preserve"> </w:t>
      </w:r>
      <w:r w:rsidR="003F161F">
        <w:rPr>
          <w:rFonts w:cstheme="minorHAnsi"/>
        </w:rPr>
        <w:t>quarter. On</w:t>
      </w:r>
      <w:r w:rsidR="00AC3328">
        <w:rPr>
          <w:rFonts w:cstheme="minorHAnsi"/>
        </w:rPr>
        <w:t xml:space="preserve"> the other hand, the payroll employment rate was</w:t>
      </w:r>
      <w:r w:rsidR="00D71C4D">
        <w:rPr>
          <w:rFonts w:cstheme="minorHAnsi"/>
        </w:rPr>
        <w:t xml:space="preserve"> slightly changed in February</w:t>
      </w:r>
      <w:r w:rsidR="00464CD2">
        <w:rPr>
          <w:rFonts w:cstheme="minorHAnsi"/>
        </w:rPr>
        <w:t xml:space="preserve">, but the increment </w:t>
      </w:r>
      <w:r w:rsidR="0076336C">
        <w:rPr>
          <w:rFonts w:cstheme="minorHAnsi"/>
        </w:rPr>
        <w:t>of new</w:t>
      </w:r>
      <w:r w:rsidR="00464CD2">
        <w:rPr>
          <w:rFonts w:cstheme="minorHAnsi"/>
        </w:rPr>
        <w:t xml:space="preserve"> job opportunities </w:t>
      </w:r>
      <w:r w:rsidR="00C43D3C">
        <w:rPr>
          <w:rFonts w:cstheme="minorHAnsi"/>
        </w:rPr>
        <w:t xml:space="preserve">have been highly robust, on the average in the past few months, as well as the rate of unemployment has remained low compared to the </w:t>
      </w:r>
      <w:r w:rsidR="0076336C">
        <w:rPr>
          <w:rFonts w:cstheme="minorHAnsi"/>
        </w:rPr>
        <w:t xml:space="preserve">previous </w:t>
      </w:r>
      <w:r w:rsidR="00F5551C">
        <w:rPr>
          <w:rFonts w:cstheme="minorHAnsi"/>
        </w:rPr>
        <w:t>year (Federal Open Market Committee, 2019)</w:t>
      </w:r>
      <w:r>
        <w:rPr>
          <w:rFonts w:cstheme="minorHAnsi"/>
        </w:rPr>
        <w:t>. The</w:t>
      </w:r>
      <w:r w:rsidR="0076336C">
        <w:rPr>
          <w:rFonts w:cstheme="minorHAnsi"/>
        </w:rPr>
        <w:t xml:space="preserve"> recent economic </w:t>
      </w:r>
      <w:r>
        <w:rPr>
          <w:rFonts w:cstheme="minorHAnsi"/>
        </w:rPr>
        <w:t>indicators</w:t>
      </w:r>
      <w:r w:rsidR="0076336C">
        <w:rPr>
          <w:rFonts w:cstheme="minorHAnsi"/>
        </w:rPr>
        <w:t xml:space="preserve"> show that </w:t>
      </w:r>
      <w:r w:rsidR="00351898">
        <w:rPr>
          <w:rFonts w:cstheme="minorHAnsi"/>
        </w:rPr>
        <w:t xml:space="preserve">the economy is also experiencing business fixed </w:t>
      </w:r>
      <w:r>
        <w:rPr>
          <w:rFonts w:cstheme="minorHAnsi"/>
        </w:rPr>
        <w:t>investments</w:t>
      </w:r>
      <w:r w:rsidR="00351898">
        <w:rPr>
          <w:rFonts w:cstheme="minorHAnsi"/>
        </w:rPr>
        <w:t xml:space="preserve"> as well as </w:t>
      </w:r>
      <w:r>
        <w:rPr>
          <w:rFonts w:cstheme="minorHAnsi"/>
        </w:rPr>
        <w:t>slower spending level for households.</w:t>
      </w:r>
    </w:p>
    <w:p w:rsidR="00784645" w:rsidRDefault="00CC776B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lastRenderedPageBreak/>
        <w:t xml:space="preserve">Yearly, the rate of </w:t>
      </w:r>
      <w:r w:rsidR="00213753">
        <w:rPr>
          <w:rFonts w:cstheme="minorHAnsi"/>
        </w:rPr>
        <w:t>inflation has</w:t>
      </w:r>
      <w:r w:rsidR="00DE4E7C">
        <w:rPr>
          <w:rFonts w:cstheme="minorHAnsi"/>
        </w:rPr>
        <w:t xml:space="preserve"> decreased </w:t>
      </w:r>
      <w:r w:rsidR="00213753">
        <w:rPr>
          <w:rFonts w:cstheme="minorHAnsi"/>
        </w:rPr>
        <w:t>mostly because</w:t>
      </w:r>
      <w:r w:rsidR="00DE4E7C">
        <w:rPr>
          <w:rFonts w:cstheme="minorHAnsi"/>
        </w:rPr>
        <w:t xml:space="preserve"> of the price of energy commodities such as oil</w:t>
      </w:r>
      <w:r w:rsidR="00C021C6">
        <w:rPr>
          <w:rFonts w:cstheme="minorHAnsi"/>
        </w:rPr>
        <w:t xml:space="preserve">; </w:t>
      </w:r>
      <w:r w:rsidR="00213753">
        <w:rPr>
          <w:rFonts w:cstheme="minorHAnsi"/>
        </w:rPr>
        <w:t>inflation</w:t>
      </w:r>
      <w:r w:rsidR="00C021C6">
        <w:rPr>
          <w:rFonts w:cstheme="minorHAnsi"/>
        </w:rPr>
        <w:t xml:space="preserve"> for various products apart from foodstuffs and fuel remains roughly at 2</w:t>
      </w:r>
      <w:r w:rsidR="00290185">
        <w:rPr>
          <w:rFonts w:cstheme="minorHAnsi"/>
        </w:rPr>
        <w:t>%</w:t>
      </w:r>
      <w:r w:rsidR="00290185" w:rsidRPr="00F5551C">
        <w:rPr>
          <w:rFonts w:cstheme="minorHAnsi"/>
        </w:rPr>
        <w:t xml:space="preserve"> </w:t>
      </w:r>
      <w:r w:rsidR="00290185">
        <w:rPr>
          <w:rFonts w:cstheme="minorHAnsi"/>
        </w:rPr>
        <w:t>(</w:t>
      </w:r>
      <w:r w:rsidR="00F5551C">
        <w:rPr>
          <w:rFonts w:cstheme="minorHAnsi"/>
        </w:rPr>
        <w:t>Federal Open Market Committee, 2019</w:t>
      </w:r>
      <w:r w:rsidR="00290185">
        <w:rPr>
          <w:rFonts w:cstheme="minorHAnsi"/>
        </w:rPr>
        <w:t>)</w:t>
      </w:r>
      <w:r w:rsidR="00C021C6">
        <w:rPr>
          <w:rFonts w:cstheme="minorHAnsi"/>
        </w:rPr>
        <w:t>.</w:t>
      </w:r>
      <w:r w:rsidR="00213753">
        <w:rPr>
          <w:rFonts w:cstheme="minorHAnsi"/>
        </w:rPr>
        <w:t xml:space="preserve">On the centrally, </w:t>
      </w:r>
      <w:r w:rsidR="009808BB">
        <w:rPr>
          <w:rFonts w:cstheme="minorHAnsi"/>
        </w:rPr>
        <w:t xml:space="preserve">market-related mechanisms of </w:t>
      </w:r>
      <w:r w:rsidR="000A7C1D">
        <w:rPr>
          <w:rFonts w:cstheme="minorHAnsi"/>
        </w:rPr>
        <w:t>compensation</w:t>
      </w:r>
      <w:r w:rsidR="009808BB">
        <w:rPr>
          <w:rFonts w:cstheme="minorHAnsi"/>
        </w:rPr>
        <w:t xml:space="preserve"> of inflation have stayed in low levels in the </w:t>
      </w:r>
      <w:r w:rsidR="008230E9">
        <w:rPr>
          <w:rFonts w:cstheme="minorHAnsi"/>
        </w:rPr>
        <w:t xml:space="preserve">recent months, and survey-based techniques of long </w:t>
      </w:r>
      <w:r w:rsidR="000A7C1D">
        <w:rPr>
          <w:rFonts w:cstheme="minorHAnsi"/>
        </w:rPr>
        <w:t>term</w:t>
      </w:r>
      <w:r w:rsidR="008230E9">
        <w:rPr>
          <w:rFonts w:cstheme="minorHAnsi"/>
        </w:rPr>
        <w:t xml:space="preserve"> </w:t>
      </w:r>
      <w:r w:rsidR="000A7C1D">
        <w:rPr>
          <w:rFonts w:cstheme="minorHAnsi"/>
        </w:rPr>
        <w:t xml:space="preserve">inflation anticipations are slightly </w:t>
      </w:r>
      <w:r w:rsidR="00CD52FD">
        <w:rPr>
          <w:rFonts w:cstheme="minorHAnsi"/>
        </w:rPr>
        <w:t>altered.</w:t>
      </w:r>
      <w:r w:rsidR="000A7C1D">
        <w:rPr>
          <w:rFonts w:cstheme="minorHAnsi"/>
        </w:rPr>
        <w:t xml:space="preserve"> </w:t>
      </w:r>
    </w:p>
    <w:p w:rsidR="0021185E" w:rsidRDefault="00CC776B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>T</w:t>
      </w:r>
      <w:r w:rsidR="00A83C4C">
        <w:rPr>
          <w:rFonts w:cstheme="minorHAnsi"/>
        </w:rPr>
        <w:t xml:space="preserve">o enhance consistency with the statutory mandate the Federal Open market </w:t>
      </w:r>
      <w:r w:rsidR="002F12C0">
        <w:rPr>
          <w:rFonts w:cstheme="minorHAnsi"/>
        </w:rPr>
        <w:t>committee</w:t>
      </w:r>
      <w:r w:rsidR="00FB2EFF">
        <w:rPr>
          <w:rFonts w:cstheme="minorHAnsi"/>
        </w:rPr>
        <w:t xml:space="preserve"> usually seeks to promote maximum</w:t>
      </w:r>
      <w:r w:rsidR="00C00863">
        <w:rPr>
          <w:rFonts w:cstheme="minorHAnsi"/>
        </w:rPr>
        <w:t xml:space="preserve"> price stability and </w:t>
      </w:r>
      <w:r w:rsidR="002F12C0">
        <w:rPr>
          <w:rFonts w:cstheme="minorHAnsi"/>
        </w:rPr>
        <w:t>employment</w:t>
      </w:r>
      <w:r w:rsidR="00C00863">
        <w:rPr>
          <w:rFonts w:cstheme="minorHAnsi"/>
        </w:rPr>
        <w:t>.</w:t>
      </w:r>
      <w:r w:rsidR="002F12C0">
        <w:rPr>
          <w:rFonts w:cstheme="minorHAnsi"/>
        </w:rPr>
        <w:t xml:space="preserve"> </w:t>
      </w:r>
      <w:r w:rsidR="00C00863">
        <w:rPr>
          <w:rFonts w:cstheme="minorHAnsi"/>
        </w:rPr>
        <w:t xml:space="preserve">To achieve </w:t>
      </w:r>
      <w:r w:rsidR="002F12C0">
        <w:rPr>
          <w:rFonts w:cstheme="minorHAnsi"/>
        </w:rPr>
        <w:t>these</w:t>
      </w:r>
      <w:r w:rsidR="00C00863">
        <w:rPr>
          <w:rFonts w:cstheme="minorHAnsi"/>
        </w:rPr>
        <w:t xml:space="preserve"> goals, FOM </w:t>
      </w:r>
      <w:r w:rsidR="00D371EA">
        <w:rPr>
          <w:rFonts w:cstheme="minorHAnsi"/>
        </w:rPr>
        <w:t>decided to maintain a particular range of for the federal money</w:t>
      </w:r>
      <w:r w:rsidR="0060504B">
        <w:rPr>
          <w:rFonts w:cstheme="minorHAnsi"/>
        </w:rPr>
        <w:t xml:space="preserve"> rate 2.025 percent to 2.5 percent</w:t>
      </w:r>
      <w:r w:rsidR="00290185" w:rsidRPr="00290185">
        <w:rPr>
          <w:rFonts w:cstheme="minorHAnsi"/>
        </w:rPr>
        <w:t xml:space="preserve"> </w:t>
      </w:r>
      <w:r w:rsidR="00290185">
        <w:rPr>
          <w:rFonts w:cstheme="minorHAnsi"/>
        </w:rPr>
        <w:t>(Federal Open Market Committee, 2019)</w:t>
      </w:r>
      <w:r w:rsidR="002F12C0">
        <w:rPr>
          <w:rFonts w:cstheme="minorHAnsi"/>
        </w:rPr>
        <w:t>.The committee member often continues to evaluate and review the sustainability of the economy</w:t>
      </w:r>
      <w:r w:rsidR="002578E1">
        <w:rPr>
          <w:rFonts w:cstheme="minorHAnsi"/>
        </w:rPr>
        <w:t xml:space="preserve"> in the form of </w:t>
      </w:r>
      <w:r w:rsidR="00592411">
        <w:rPr>
          <w:rFonts w:cstheme="minorHAnsi"/>
        </w:rPr>
        <w:t>economic</w:t>
      </w:r>
      <w:r w:rsidR="002578E1">
        <w:rPr>
          <w:rFonts w:cstheme="minorHAnsi"/>
        </w:rPr>
        <w:t xml:space="preserve"> activity expansion, </w:t>
      </w:r>
      <w:r w:rsidR="00592411">
        <w:rPr>
          <w:rFonts w:cstheme="minorHAnsi"/>
        </w:rPr>
        <w:t xml:space="preserve">stable conditions of labor supply and labor </w:t>
      </w:r>
      <w:r w:rsidR="00BE3B13">
        <w:rPr>
          <w:rFonts w:cstheme="minorHAnsi"/>
        </w:rPr>
        <w:t>demand as</w:t>
      </w:r>
      <w:r w:rsidR="002B048D">
        <w:rPr>
          <w:rFonts w:cstheme="minorHAnsi"/>
        </w:rPr>
        <w:t xml:space="preserve"> well as inflation rate near FOM’</w:t>
      </w:r>
      <w:r w:rsidR="00BE3B13">
        <w:rPr>
          <w:rFonts w:cstheme="minorHAnsi"/>
        </w:rPr>
        <w:t xml:space="preserve">s set metric of two percent. Additionally, in light of </w:t>
      </w:r>
      <w:r w:rsidR="008D0DE2">
        <w:rPr>
          <w:rFonts w:cstheme="minorHAnsi"/>
        </w:rPr>
        <w:t>the financial</w:t>
      </w:r>
      <w:r w:rsidR="00621438">
        <w:rPr>
          <w:rFonts w:cstheme="minorHAnsi"/>
        </w:rPr>
        <w:t xml:space="preserve"> development and global economic </w:t>
      </w:r>
      <w:r w:rsidR="008D0DE2">
        <w:rPr>
          <w:rFonts w:cstheme="minorHAnsi"/>
        </w:rPr>
        <w:t>growth as</w:t>
      </w:r>
      <w:r w:rsidR="00621438">
        <w:rPr>
          <w:rFonts w:cstheme="minorHAnsi"/>
        </w:rPr>
        <w:t xml:space="preserve"> well as the muted inflation compensation </w:t>
      </w:r>
      <w:r w:rsidR="00C87D86">
        <w:rPr>
          <w:rFonts w:cstheme="minorHAnsi"/>
        </w:rPr>
        <w:t xml:space="preserve">measures enabled FOM to establish </w:t>
      </w:r>
      <w:r w:rsidR="006B6AC7">
        <w:rPr>
          <w:rFonts w:cstheme="minorHAnsi"/>
        </w:rPr>
        <w:t xml:space="preserve">higher metric levels for macroeconomic components. </w:t>
      </w:r>
    </w:p>
    <w:p w:rsidR="00DF215A" w:rsidRDefault="00CC776B" w:rsidP="00597D0E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most interesting two items </w:t>
      </w:r>
      <w:r w:rsidR="00F33714">
        <w:rPr>
          <w:rFonts w:cstheme="minorHAnsi"/>
        </w:rPr>
        <w:t xml:space="preserve">in this state include a low level of unemployment, low level of </w:t>
      </w:r>
      <w:r w:rsidR="00036E43">
        <w:rPr>
          <w:rFonts w:cstheme="minorHAnsi"/>
        </w:rPr>
        <w:t>inflation. These</w:t>
      </w:r>
      <w:r w:rsidR="0056592B">
        <w:rPr>
          <w:rFonts w:cstheme="minorHAnsi"/>
        </w:rPr>
        <w:t xml:space="preserve"> two macroeconomic el</w:t>
      </w:r>
      <w:r w:rsidR="00036E43">
        <w:rPr>
          <w:rFonts w:cstheme="minorHAnsi"/>
        </w:rPr>
        <w:t>ements should low</w:t>
      </w:r>
      <w:r w:rsidR="0056592B">
        <w:rPr>
          <w:rFonts w:cstheme="minorHAnsi"/>
        </w:rPr>
        <w:t xml:space="preserve"> as possible since if they increase at the same time, it may result in </w:t>
      </w:r>
      <w:r w:rsidR="00D20EAA">
        <w:rPr>
          <w:rFonts w:cstheme="minorHAnsi"/>
        </w:rPr>
        <w:t xml:space="preserve">stagflation. Additionally, the statement shows that the labor market is stabling, as well as </w:t>
      </w:r>
      <w:r w:rsidR="00A866A9">
        <w:rPr>
          <w:rFonts w:cstheme="minorHAnsi"/>
        </w:rPr>
        <w:t xml:space="preserve">the prices of goods and services, are stable. On the other hand </w:t>
      </w:r>
      <w:r w:rsidR="00DC61E7">
        <w:rPr>
          <w:rFonts w:cstheme="minorHAnsi"/>
        </w:rPr>
        <w:t>the most</w:t>
      </w:r>
      <w:r w:rsidR="00200DF3">
        <w:rPr>
          <w:rFonts w:cstheme="minorHAnsi"/>
        </w:rPr>
        <w:t xml:space="preserve"> confusing</w:t>
      </w:r>
      <w:r w:rsidR="00A866A9">
        <w:rPr>
          <w:rFonts w:cstheme="minorHAnsi"/>
        </w:rPr>
        <w:t xml:space="preserve"> elements in the Federal Open </w:t>
      </w:r>
      <w:r w:rsidR="00DC61E7">
        <w:rPr>
          <w:rFonts w:cstheme="minorHAnsi"/>
        </w:rPr>
        <w:t>Market‘s</w:t>
      </w:r>
      <w:r w:rsidR="00A866A9">
        <w:rPr>
          <w:rFonts w:cstheme="minorHAnsi"/>
        </w:rPr>
        <w:t xml:space="preserve"> </w:t>
      </w:r>
      <w:r w:rsidR="0027648D">
        <w:rPr>
          <w:rFonts w:cstheme="minorHAnsi"/>
        </w:rPr>
        <w:t xml:space="preserve">statement are the increased business fixed investment and slower householder spending. The two items are confusing </w:t>
      </w:r>
      <w:r w:rsidR="002D2F89">
        <w:rPr>
          <w:rFonts w:cstheme="minorHAnsi"/>
        </w:rPr>
        <w:t>because,</w:t>
      </w:r>
      <w:r w:rsidR="00DC61E7">
        <w:rPr>
          <w:rFonts w:cstheme="minorHAnsi"/>
        </w:rPr>
        <w:t xml:space="preserve"> if households are spending </w:t>
      </w:r>
      <w:r w:rsidR="002D2F89">
        <w:rPr>
          <w:rFonts w:cstheme="minorHAnsi"/>
        </w:rPr>
        <w:t>less amount</w:t>
      </w:r>
      <w:r w:rsidR="00DC61E7">
        <w:rPr>
          <w:rFonts w:cstheme="minorHAnsi"/>
        </w:rPr>
        <w:t xml:space="preserve"> of money implies that there are few amounts of money in circulation in the two sector </w:t>
      </w:r>
      <w:r w:rsidR="002D2F89">
        <w:rPr>
          <w:rFonts w:cstheme="minorHAnsi"/>
        </w:rPr>
        <w:t>energy,</w:t>
      </w:r>
      <w:r w:rsidR="00DC61E7">
        <w:rPr>
          <w:rFonts w:cstheme="minorHAnsi"/>
        </w:rPr>
        <w:t xml:space="preserve"> hence </w:t>
      </w:r>
      <w:r w:rsidR="002D2F89">
        <w:rPr>
          <w:rFonts w:cstheme="minorHAnsi"/>
        </w:rPr>
        <w:t>the level of investment will also be affected.</w:t>
      </w:r>
      <w:r w:rsidR="00DC61E7">
        <w:rPr>
          <w:rFonts w:cstheme="minorHAnsi"/>
        </w:rPr>
        <w:t xml:space="preserve"> </w:t>
      </w:r>
      <w:r w:rsidR="00F33714">
        <w:rPr>
          <w:rFonts w:cstheme="minorHAnsi"/>
        </w:rPr>
        <w:t xml:space="preserve"> </w:t>
      </w:r>
    </w:p>
    <w:p w:rsidR="00DF215A" w:rsidRDefault="00CC776B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  <w:r>
        <w:rPr>
          <w:rFonts w:cstheme="minorHAnsi"/>
        </w:rPr>
        <w:lastRenderedPageBreak/>
        <w:t>Referenc</w:t>
      </w:r>
      <w:r>
        <w:rPr>
          <w:rFonts w:cstheme="minorHAnsi"/>
        </w:rPr>
        <w:t>e</w:t>
      </w:r>
    </w:p>
    <w:p w:rsidR="004A5B30" w:rsidRDefault="00CC776B" w:rsidP="00137ABC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rFonts w:cstheme="minorHAnsi"/>
        </w:rPr>
        <w:t xml:space="preserve">Federal Open Market </w:t>
      </w:r>
      <w:r>
        <w:rPr>
          <w:rFonts w:cstheme="minorHAnsi"/>
        </w:rPr>
        <w:fldChar w:fldCharType="begin"/>
      </w:r>
      <w:r>
        <w:rPr>
          <w:rFonts w:cstheme="minorHAnsi"/>
          <w:lang w:val="en-GB"/>
        </w:rPr>
        <w:instrText xml:space="preserve"> BIBLIOGRAPHY  \l 2057 </w:instrText>
      </w:r>
      <w:r>
        <w:rPr>
          <w:rFonts w:cstheme="minorHAnsi"/>
        </w:rPr>
        <w:fldChar w:fldCharType="separate"/>
      </w:r>
      <w:r w:rsidR="00137ABC">
        <w:rPr>
          <w:noProof/>
        </w:rPr>
        <w:t xml:space="preserve">Committee </w:t>
      </w:r>
      <w:r>
        <w:rPr>
          <w:noProof/>
        </w:rPr>
        <w:t>(2019, March 20). Federal Economic Issues FOM Statement. Retrieved April 11, 2019, from https://www.federalreserve.gov/monetarypolicy/fomccalendars.htm</w:t>
      </w:r>
    </w:p>
    <w:p w:rsidR="004A5B30" w:rsidRDefault="004A5B30" w:rsidP="00137ABC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</w:p>
    <w:p w:rsidR="00784645" w:rsidRDefault="00CC776B" w:rsidP="00137ABC">
      <w:pPr>
        <w:pStyle w:val="Title2"/>
        <w:spacing w:before="100" w:beforeAutospacing="1" w:after="100" w:afterAutospacing="1"/>
        <w:ind w:left="1004" w:hanging="720"/>
        <w:contextualSpacing/>
        <w:jc w:val="left"/>
        <w:rPr>
          <w:rFonts w:cstheme="minorHAnsi"/>
        </w:rPr>
      </w:pPr>
      <w:r>
        <w:rPr>
          <w:rFonts w:cstheme="minorHAnsi"/>
        </w:rPr>
        <w:fldChar w:fldCharType="end"/>
      </w:r>
    </w:p>
    <w:p w:rsidR="00784645" w:rsidRDefault="00784645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bookmarkEnd w:id="0"/>
    <w:p w:rsidR="00213753" w:rsidRPr="00784645" w:rsidRDefault="00213753" w:rsidP="00784645">
      <w:pPr>
        <w:pStyle w:val="Title2"/>
        <w:rPr>
          <w:rFonts w:cstheme="minorHAnsi"/>
        </w:rPr>
      </w:pPr>
    </w:p>
    <w:sectPr w:rsidR="00213753" w:rsidRPr="00784645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76B" w:rsidRDefault="00CC776B">
      <w:pPr>
        <w:spacing w:line="240" w:lineRule="auto"/>
      </w:pPr>
      <w:r>
        <w:separator/>
      </w:r>
    </w:p>
  </w:endnote>
  <w:endnote w:type="continuationSeparator" w:id="0">
    <w:p w:rsidR="00CC776B" w:rsidRDefault="00CC7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76B" w:rsidRDefault="00CC776B">
      <w:pPr>
        <w:spacing w:line="240" w:lineRule="auto"/>
      </w:pPr>
      <w:r>
        <w:separator/>
      </w:r>
    </w:p>
  </w:footnote>
  <w:footnote w:type="continuationSeparator" w:id="0">
    <w:p w:rsidR="00CC776B" w:rsidRDefault="00CC7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C776B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802791">
          <w:rPr>
            <w:rStyle w:val="Strong"/>
            <w:lang w:val="en-GB"/>
          </w:rPr>
          <w:t xml:space="preserve">The federal Open MARKET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3F161F">
      <w:rPr>
        <w:rStyle w:val="Strong"/>
        <w:noProof/>
      </w:rPr>
      <w:t>4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C776B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802791">
          <w:rPr>
            <w:rStyle w:val="Strong"/>
          </w:rPr>
          <w:t xml:space="preserve">The federal Open MARKET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36E43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156E2"/>
    <w:rsid w:val="00021889"/>
    <w:rsid w:val="000224CC"/>
    <w:rsid w:val="000349B6"/>
    <w:rsid w:val="00036E43"/>
    <w:rsid w:val="00042C04"/>
    <w:rsid w:val="000455C2"/>
    <w:rsid w:val="00045A53"/>
    <w:rsid w:val="00065B90"/>
    <w:rsid w:val="00084737"/>
    <w:rsid w:val="00091267"/>
    <w:rsid w:val="000A6470"/>
    <w:rsid w:val="000A7C1D"/>
    <w:rsid w:val="000B036F"/>
    <w:rsid w:val="000B33C0"/>
    <w:rsid w:val="000D3F41"/>
    <w:rsid w:val="000D78EC"/>
    <w:rsid w:val="001157EA"/>
    <w:rsid w:val="00116C3A"/>
    <w:rsid w:val="001221F5"/>
    <w:rsid w:val="0012730D"/>
    <w:rsid w:val="001375BB"/>
    <w:rsid w:val="00137ABC"/>
    <w:rsid w:val="00140791"/>
    <w:rsid w:val="0014664A"/>
    <w:rsid w:val="00154BA3"/>
    <w:rsid w:val="00162AD7"/>
    <w:rsid w:val="001B2FC3"/>
    <w:rsid w:val="001B43BC"/>
    <w:rsid w:val="001B557B"/>
    <w:rsid w:val="001B7A1E"/>
    <w:rsid w:val="001C14FD"/>
    <w:rsid w:val="001D0D64"/>
    <w:rsid w:val="001D65A7"/>
    <w:rsid w:val="001F3995"/>
    <w:rsid w:val="00200DF3"/>
    <w:rsid w:val="0021185E"/>
    <w:rsid w:val="00213753"/>
    <w:rsid w:val="002578E1"/>
    <w:rsid w:val="00270DF4"/>
    <w:rsid w:val="00271AF8"/>
    <w:rsid w:val="0027648D"/>
    <w:rsid w:val="00276616"/>
    <w:rsid w:val="002824C8"/>
    <w:rsid w:val="002857A2"/>
    <w:rsid w:val="00290185"/>
    <w:rsid w:val="002B048D"/>
    <w:rsid w:val="002B294E"/>
    <w:rsid w:val="002B3895"/>
    <w:rsid w:val="002B53B1"/>
    <w:rsid w:val="002C4888"/>
    <w:rsid w:val="002D2F89"/>
    <w:rsid w:val="002E3A71"/>
    <w:rsid w:val="002F12C0"/>
    <w:rsid w:val="0033552F"/>
    <w:rsid w:val="00336D02"/>
    <w:rsid w:val="00341149"/>
    <w:rsid w:val="00344DAB"/>
    <w:rsid w:val="00346A61"/>
    <w:rsid w:val="00351898"/>
    <w:rsid w:val="00355DCA"/>
    <w:rsid w:val="003571D1"/>
    <w:rsid w:val="003E0F75"/>
    <w:rsid w:val="003F0F4B"/>
    <w:rsid w:val="003F161F"/>
    <w:rsid w:val="00413756"/>
    <w:rsid w:val="00431974"/>
    <w:rsid w:val="00435BE7"/>
    <w:rsid w:val="0044145A"/>
    <w:rsid w:val="0045056F"/>
    <w:rsid w:val="004550F3"/>
    <w:rsid w:val="00464CD2"/>
    <w:rsid w:val="0047413E"/>
    <w:rsid w:val="004921E0"/>
    <w:rsid w:val="004A5B30"/>
    <w:rsid w:val="004A6EA0"/>
    <w:rsid w:val="004C0233"/>
    <w:rsid w:val="004C2C3B"/>
    <w:rsid w:val="005033DC"/>
    <w:rsid w:val="00514248"/>
    <w:rsid w:val="00531427"/>
    <w:rsid w:val="005426DB"/>
    <w:rsid w:val="00551A02"/>
    <w:rsid w:val="005534FA"/>
    <w:rsid w:val="0056592B"/>
    <w:rsid w:val="005771CB"/>
    <w:rsid w:val="00581065"/>
    <w:rsid w:val="00592411"/>
    <w:rsid w:val="00597D0E"/>
    <w:rsid w:val="005B72BC"/>
    <w:rsid w:val="005D3A03"/>
    <w:rsid w:val="005E5347"/>
    <w:rsid w:val="0060504B"/>
    <w:rsid w:val="00611BAC"/>
    <w:rsid w:val="00613774"/>
    <w:rsid w:val="0061667B"/>
    <w:rsid w:val="00621438"/>
    <w:rsid w:val="0065193F"/>
    <w:rsid w:val="00656FFC"/>
    <w:rsid w:val="006619FC"/>
    <w:rsid w:val="00662B31"/>
    <w:rsid w:val="00670846"/>
    <w:rsid w:val="00677303"/>
    <w:rsid w:val="0068151F"/>
    <w:rsid w:val="0068706C"/>
    <w:rsid w:val="006931D1"/>
    <w:rsid w:val="006952EB"/>
    <w:rsid w:val="006A09A6"/>
    <w:rsid w:val="006B4C1A"/>
    <w:rsid w:val="006B6AC7"/>
    <w:rsid w:val="006D5C97"/>
    <w:rsid w:val="006D68A7"/>
    <w:rsid w:val="006E1FAB"/>
    <w:rsid w:val="006E2C4F"/>
    <w:rsid w:val="006F2504"/>
    <w:rsid w:val="00700F0F"/>
    <w:rsid w:val="00702E06"/>
    <w:rsid w:val="0070551A"/>
    <w:rsid w:val="00727D68"/>
    <w:rsid w:val="007376C3"/>
    <w:rsid w:val="007511E9"/>
    <w:rsid w:val="00751BB6"/>
    <w:rsid w:val="007558F7"/>
    <w:rsid w:val="0076336C"/>
    <w:rsid w:val="00777A27"/>
    <w:rsid w:val="00784645"/>
    <w:rsid w:val="007D30CD"/>
    <w:rsid w:val="007F612B"/>
    <w:rsid w:val="008002C0"/>
    <w:rsid w:val="00802791"/>
    <w:rsid w:val="0081350B"/>
    <w:rsid w:val="0081443C"/>
    <w:rsid w:val="00820BB8"/>
    <w:rsid w:val="008230E9"/>
    <w:rsid w:val="00837051"/>
    <w:rsid w:val="008574A2"/>
    <w:rsid w:val="00875CC8"/>
    <w:rsid w:val="00886D1F"/>
    <w:rsid w:val="008C5323"/>
    <w:rsid w:val="008D0DE2"/>
    <w:rsid w:val="00905191"/>
    <w:rsid w:val="00936BEE"/>
    <w:rsid w:val="0094146A"/>
    <w:rsid w:val="009508C4"/>
    <w:rsid w:val="0097014E"/>
    <w:rsid w:val="00977EB9"/>
    <w:rsid w:val="009808BB"/>
    <w:rsid w:val="0098224C"/>
    <w:rsid w:val="009A6A3B"/>
    <w:rsid w:val="009E1FA5"/>
    <w:rsid w:val="00A12B4D"/>
    <w:rsid w:val="00A16B7B"/>
    <w:rsid w:val="00A234F0"/>
    <w:rsid w:val="00A36366"/>
    <w:rsid w:val="00A43E21"/>
    <w:rsid w:val="00A74DBF"/>
    <w:rsid w:val="00A81712"/>
    <w:rsid w:val="00A83C4C"/>
    <w:rsid w:val="00A866A9"/>
    <w:rsid w:val="00A90B51"/>
    <w:rsid w:val="00AA6276"/>
    <w:rsid w:val="00AB4E00"/>
    <w:rsid w:val="00AC3328"/>
    <w:rsid w:val="00AF3A28"/>
    <w:rsid w:val="00B37BBD"/>
    <w:rsid w:val="00B710BD"/>
    <w:rsid w:val="00B72C43"/>
    <w:rsid w:val="00B8167C"/>
    <w:rsid w:val="00B823AA"/>
    <w:rsid w:val="00B93DB3"/>
    <w:rsid w:val="00BA45DB"/>
    <w:rsid w:val="00BE099C"/>
    <w:rsid w:val="00BE3B13"/>
    <w:rsid w:val="00BF0175"/>
    <w:rsid w:val="00BF4184"/>
    <w:rsid w:val="00C00863"/>
    <w:rsid w:val="00C021C6"/>
    <w:rsid w:val="00C0601E"/>
    <w:rsid w:val="00C101D4"/>
    <w:rsid w:val="00C31D30"/>
    <w:rsid w:val="00C43D3C"/>
    <w:rsid w:val="00C51324"/>
    <w:rsid w:val="00C60154"/>
    <w:rsid w:val="00C669E0"/>
    <w:rsid w:val="00C67AB3"/>
    <w:rsid w:val="00C73F4E"/>
    <w:rsid w:val="00C7603B"/>
    <w:rsid w:val="00C87D86"/>
    <w:rsid w:val="00CB5ACB"/>
    <w:rsid w:val="00CC2258"/>
    <w:rsid w:val="00CC776B"/>
    <w:rsid w:val="00CD52FD"/>
    <w:rsid w:val="00CD6E39"/>
    <w:rsid w:val="00CF6E91"/>
    <w:rsid w:val="00CF702E"/>
    <w:rsid w:val="00D0773C"/>
    <w:rsid w:val="00D10DC2"/>
    <w:rsid w:val="00D20EAA"/>
    <w:rsid w:val="00D34C79"/>
    <w:rsid w:val="00D35C95"/>
    <w:rsid w:val="00D371EA"/>
    <w:rsid w:val="00D553B8"/>
    <w:rsid w:val="00D67E66"/>
    <w:rsid w:val="00D71C4D"/>
    <w:rsid w:val="00D765FE"/>
    <w:rsid w:val="00D85B68"/>
    <w:rsid w:val="00D90730"/>
    <w:rsid w:val="00DA1B84"/>
    <w:rsid w:val="00DB1CB8"/>
    <w:rsid w:val="00DB36FA"/>
    <w:rsid w:val="00DB6DC9"/>
    <w:rsid w:val="00DC61E7"/>
    <w:rsid w:val="00DD28D1"/>
    <w:rsid w:val="00DD2C06"/>
    <w:rsid w:val="00DE4E7C"/>
    <w:rsid w:val="00DF215A"/>
    <w:rsid w:val="00E06F54"/>
    <w:rsid w:val="00E144AD"/>
    <w:rsid w:val="00E162C9"/>
    <w:rsid w:val="00E47E7B"/>
    <w:rsid w:val="00E54FE3"/>
    <w:rsid w:val="00E6004D"/>
    <w:rsid w:val="00E63874"/>
    <w:rsid w:val="00E70E04"/>
    <w:rsid w:val="00E81978"/>
    <w:rsid w:val="00E8511D"/>
    <w:rsid w:val="00EB3E40"/>
    <w:rsid w:val="00EB7399"/>
    <w:rsid w:val="00EC6FB1"/>
    <w:rsid w:val="00ED464C"/>
    <w:rsid w:val="00F07CC9"/>
    <w:rsid w:val="00F31E7B"/>
    <w:rsid w:val="00F32D1F"/>
    <w:rsid w:val="00F33714"/>
    <w:rsid w:val="00F379B7"/>
    <w:rsid w:val="00F525FA"/>
    <w:rsid w:val="00F5551C"/>
    <w:rsid w:val="00F57902"/>
    <w:rsid w:val="00F64D5C"/>
    <w:rsid w:val="00F665AC"/>
    <w:rsid w:val="00F8636F"/>
    <w:rsid w:val="00F94479"/>
    <w:rsid w:val="00FB091C"/>
    <w:rsid w:val="00FB2EFF"/>
    <w:rsid w:val="00FB66DA"/>
    <w:rsid w:val="00FD5388"/>
    <w:rsid w:val="00FE0097"/>
    <w:rsid w:val="00FE01AD"/>
    <w:rsid w:val="00FE4F7D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1F84DED08C4871BFA5928406027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5380-7425-4799-88A0-A1E363483393}"/>
      </w:docPartPr>
      <w:docPartBody>
        <w:p w:rsidR="00435BE7" w:rsidRDefault="00153B2B">
          <w:pPr>
            <w:pStyle w:val="DF1F84DED08C4871BFA5928406027939"/>
          </w:pPr>
          <w:r>
            <w:t>[Title Here, up to 12 Words, on One to Two Lines]</w:t>
          </w:r>
        </w:p>
      </w:docPartBody>
    </w:docPart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153B2B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153B2B">
          <w:pPr>
            <w:pStyle w:val="389D95B8F3AD4FE3B1324D4C2D78E443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0C41CC"/>
    <w:rsid w:val="0010137F"/>
    <w:rsid w:val="00153B2B"/>
    <w:rsid w:val="0043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federal Open MARKET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4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5</b:RefOrder>
  </b:Source>
  <b:Source>
    <b:Tag>Com19</b:Tag>
    <b:SourceType>JournalArticle</b:SourceType>
    <b:Guid>{55C37D16-CA5F-4E35-8076-F90414BE20D5}</b:Guid>
    <b:Title>Federal  Economic Issues FOM Statement </b:Title>
    <b:Year>2019</b:Year>
    <b:Author>
      <b:Author>
        <b:NameList>
          <b:Person>
            <b:Last>Committe</b:Last>
            <b:First>Federal</b:First>
            <b:Middle>Open Market</b:Middle>
          </b:Person>
        </b:NameList>
      </b:Author>
    </b:Author>
    <b:Month>March</b:Month>
    <b:Day>20</b:Day>
    <b:YearAccessed>2019</b:YearAccessed>
    <b:MonthAccessed>April</b:MonthAccessed>
    <b:DayAccessed>11</b:DayAccessed>
    <b:URL>https://www.federalreserve.gov/monetarypolicy/fomccalendars.htm</b:URL>
    <b:RefOrder>6</b:RefOrder>
  </b:Source>
  <b:Source>
    <b:Tag>Placeholder1</b:Tag>
    <b:SourceType>JournalArticle</b:SourceType>
    <b:Guid>{AD021265-5005-4DFC-A6F5-7468D0D57730}</b:Guid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DA31A5-28CC-4B59-8047-41178FEB7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Federal Open Market</vt:lpstr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Federal Open Market</dc:title>
  <dc:creator>Windows User</dc:creator>
  <cp:lastModifiedBy>Dennis Menge</cp:lastModifiedBy>
  <cp:revision>2</cp:revision>
  <dcterms:created xsi:type="dcterms:W3CDTF">2019-04-10T23:56:00Z</dcterms:created>
  <dcterms:modified xsi:type="dcterms:W3CDTF">2019-04-10T23:56:00Z</dcterms:modified>
</cp:coreProperties>
</file>